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>
          <w:shd w:fill="auto" w:val="clear"/>
        </w:rPr>
      </w:pPr>
      <w:r>
        <w:rPr>
          <w:rFonts w:eastAsia="Times New Roman" w:cs="Times New Roman"/>
          <w:color w:val="000000"/>
          <w:kern w:val="2"/>
          <w:sz w:val="32"/>
          <w:szCs w:val="32"/>
          <w:shd w:fill="auto" w:val="clear"/>
          <w:lang w:val="ru-RU" w:eastAsia="zh-CN" w:bidi="ar-SA"/>
        </w:rPr>
        <w:t xml:space="preserve">Сведения госреестра недвижимости на защите интересов бизнеса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Кадастровая палата принимает участие в реализации программы по разви</w:t>
      </w:r>
      <w:r>
        <w:rPr>
          <w:b/>
          <w:bCs/>
          <w:color w:val="000000"/>
          <w:sz w:val="28"/>
          <w:szCs w:val="28"/>
          <w:shd w:fill="auto" w:val="clear"/>
        </w:rPr>
        <w:t>тию инвестиционного климата на территории Алтайского края. За этот период более чем в два раза в</w:t>
      </w:r>
      <w:r>
        <w:rPr>
          <w:b/>
          <w:bCs/>
          <w:color w:val="000000"/>
          <w:sz w:val="28"/>
          <w:szCs w:val="28"/>
        </w:rPr>
        <w:t>озросло количество сведений о территориальных зонах, охранных территориях и объектах культурного наследия, границах затопления и подтопления внесенных в Единый государственный реестр недвижимости (ЕГРН).</w:t>
      </w:r>
    </w:p>
    <w:p>
      <w:pPr>
        <w:pStyle w:val="Normal"/>
        <w:widowControl w:val="false"/>
        <w:ind w:firstLine="709"/>
        <w:jc w:val="both"/>
        <w:rPr>
          <w:bCs/>
          <w:color w:val="000000"/>
          <w:sz w:val="28"/>
          <w:szCs w:val="28"/>
          <w:shd w:fill="FFFFFF" w:val="clear"/>
        </w:rPr>
      </w:pPr>
      <w:r>
        <w:rPr>
          <w:bCs/>
          <w:strike w:val="false"/>
          <w:dstrike w:val="false"/>
          <w:color w:val="000000"/>
          <w:sz w:val="28"/>
          <w:szCs w:val="28"/>
          <w:shd w:fill="FFFFFF" w:val="clear"/>
        </w:rPr>
        <w:t>Термин «дорожная карта» прочно закрепился в жизни нашего общества.</w:t>
      </w:r>
      <w:r>
        <w:rPr>
          <w:bCs/>
          <w:color w:val="000000"/>
          <w:sz w:val="28"/>
          <w:szCs w:val="28"/>
          <w:shd w:fill="FFFFFF" w:val="clear"/>
        </w:rPr>
        <w:t xml:space="preserve"> Именуемые дорожными картами планы мероприятий направлены на достижение определенных задач в той или иной области экономического развития государства. Так, в 2017 году в регионах России начали внедряться двенадцать моделей, определяющих действия и показатели по основным направлениям, наиболее сильно влияющим на улучшение инвестиционного климата. Программы предусматривают разработку и реализацию действенных мер в сфере получения разрешения на строительство, технологического присоединения к электрическим, газовым сетям, сетям тепло- и водоснабжения, водоотведения, контрольно-надзорной деятельности, поддержки малого и среднего предпринимательства и др.</w:t>
      </w:r>
    </w:p>
    <w:p>
      <w:pPr>
        <w:pStyle w:val="Normal"/>
        <w:widowControl w:val="false"/>
        <w:ind w:firstLine="709"/>
        <w:jc w:val="both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  <w:t xml:space="preserve">В их числе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shd w:fill="FFFFFF" w:val="clear"/>
          <w:lang w:eastAsia="zh-CN"/>
        </w:rPr>
        <w:t>план мероприятий</w:t>
      </w:r>
      <w:r>
        <w:rPr>
          <w:bCs/>
          <w:color w:val="000000"/>
          <w:sz w:val="28"/>
          <w:szCs w:val="28"/>
          <w:shd w:fill="FFFFFF" w:val="clear"/>
        </w:rPr>
        <w:t xml:space="preserve">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shd w:fill="FFFFFF" w:val="clear"/>
          <w:lang w:eastAsia="zh-CN"/>
        </w:rPr>
        <w:t xml:space="preserve">Он учитывает </w:t>
      </w:r>
      <w:r>
        <w:rPr>
          <w:bCs/>
          <w:color w:val="000000"/>
          <w:sz w:val="28"/>
          <w:szCs w:val="28"/>
          <w:shd w:fill="FFFFFF" w:val="clear"/>
        </w:rPr>
        <w:t>все шаги, с которыми предприниматели сталкиваются при приобретении и оформлении недвижимого имущества. В числ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shd w:fill="FFFFFF" w:val="clear"/>
          <w:lang w:val="ru-RU" w:eastAsia="zh-CN" w:bidi="ar-SA"/>
        </w:rPr>
        <w:t>е</w:t>
      </w:r>
      <w:r>
        <w:rPr>
          <w:bCs/>
          <w:color w:val="000000"/>
          <w:sz w:val="28"/>
          <w:szCs w:val="28"/>
          <w:shd w:fill="FFFFFF" w:val="clear"/>
        </w:rPr>
        <w:t xml:space="preserve"> основных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shd w:fill="FFFFFF" w:val="clear"/>
          <w:lang w:val="ru-RU" w:eastAsia="zh-CN" w:bidi="ar-SA"/>
        </w:rPr>
        <w:t>мероприятий</w:t>
      </w:r>
      <w:r>
        <w:rPr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shd w:fill="FFFFFF" w:val="clear"/>
          <w:lang w:val="ru-RU" w:eastAsia="zh-CN" w:bidi="ar-SA"/>
        </w:rPr>
        <w:t xml:space="preserve">«дорожной карты» - </w:t>
      </w:r>
      <w:r>
        <w:rPr>
          <w:bCs/>
          <w:color w:val="000000"/>
          <w:sz w:val="28"/>
          <w:szCs w:val="28"/>
          <w:shd w:fill="FFFFFF" w:val="clear"/>
        </w:rPr>
        <w:t xml:space="preserve"> внесение в ЕГРН сведений о границах земельных участков и административно-территориального деления, территориальных зонах, объектах культурного наследия и их территорий, а также максимальная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shd w:fill="FFFFFF" w:val="clear"/>
          <w:lang w:val="ru-RU" w:eastAsia="zh-CN" w:bidi="ar-SA"/>
        </w:rPr>
        <w:t>доступность и скорость</w:t>
      </w:r>
      <w:r>
        <w:rPr>
          <w:bCs/>
          <w:color w:val="000000"/>
          <w:sz w:val="28"/>
          <w:szCs w:val="28"/>
          <w:shd w:fill="FFFFFF" w:val="clear"/>
        </w:rPr>
        <w:t xml:space="preserve"> предоставления сведений из ЕГРН.</w:t>
      </w:r>
    </w:p>
    <w:p>
      <w:pPr>
        <w:pStyle w:val="Normal"/>
        <w:widowControl w:val="false"/>
        <w:ind w:firstLine="709"/>
        <w:jc w:val="both"/>
        <w:rPr>
          <w:strike w:val="false"/>
          <w:dstrike w:val="false"/>
        </w:rPr>
      </w:pPr>
      <w:r>
        <w:rPr>
          <w:bCs/>
          <w:strike w:val="false"/>
          <w:dstrike w:val="false"/>
          <w:color w:val="000000"/>
          <w:sz w:val="28"/>
          <w:szCs w:val="28"/>
          <w:shd w:fill="FFFFFF" w:val="clear"/>
        </w:rPr>
        <w:t xml:space="preserve">Каждый инвестор, прежде чем вложить деньги в определенные проекты, изучает потенциал и риски, оценивает </w:t>
      </w:r>
      <w:r>
        <w:rPr>
          <w:rFonts w:eastAsia="Times New Roman" w:cs="Times New Roman"/>
          <w:bCs/>
          <w:strike w:val="false"/>
          <w:dstrike w:val="false"/>
          <w:color w:val="000000"/>
          <w:kern w:val="2"/>
          <w:sz w:val="28"/>
          <w:szCs w:val="28"/>
          <w:shd w:fill="FFFFFF" w:val="clear"/>
          <w:lang w:eastAsia="zh-CN"/>
        </w:rPr>
        <w:t>перспективы</w:t>
      </w:r>
      <w:r>
        <w:rPr>
          <w:bCs/>
          <w:strike w:val="false"/>
          <w:dstrike w:val="false"/>
          <w:color w:val="000000"/>
          <w:sz w:val="28"/>
          <w:szCs w:val="28"/>
          <w:shd w:fill="FFFFFF" w:val="clear"/>
        </w:rPr>
        <w:t xml:space="preserve"> оформления права собственности. </w:t>
      </w:r>
    </w:p>
    <w:p>
      <w:pPr>
        <w:pStyle w:val="Normal"/>
        <w:widowControl w:val="false"/>
        <w:ind w:firstLine="709"/>
        <w:jc w:val="both"/>
        <w:rPr>
          <w:i/>
          <w:i/>
          <w:iCs/>
        </w:rPr>
      </w:pPr>
      <w:r>
        <w:rPr>
          <w:bCs/>
          <w:i/>
          <w:iCs/>
          <w:color w:val="000000"/>
          <w:sz w:val="28"/>
          <w:szCs w:val="28"/>
          <w:shd w:fill="auto" w:val="clear"/>
        </w:rPr>
        <w:t xml:space="preserve">«Одним из условий скорейшего </w:t>
      </w:r>
      <w:r>
        <w:rPr>
          <w:rFonts w:eastAsia="Times New Roman" w:cs="Times New Roman"/>
          <w:bCs/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оформления документов и начала работы предприятия, как ни странно, являются сведения о характеристиках земельного участка, на котором планируется организовать производство, 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u w:val="none"/>
          <w:shd w:fill="auto" w:val="clear"/>
          <w:lang w:eastAsia="zh-CN"/>
        </w:rPr>
        <w:t xml:space="preserve">- рассказывает </w:t>
      </w:r>
      <w:r>
        <w:rPr>
          <w:rFonts w:eastAsia="0" w:cs="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shd w:fill="auto" w:val="clear"/>
          <w:lang w:eastAsia="zh-CN"/>
        </w:rPr>
        <w:t>директор Кадастровой палаты по Алтайскому краю Дмитрий Комиссаров</w:t>
      </w:r>
      <w:r>
        <w:rPr>
          <w:rFonts w:eastAsia="0" w:cs="Times New Roman"/>
          <w:bCs/>
          <w:i w:val="false"/>
          <w:iCs w:val="false"/>
          <w:color w:val="000000"/>
          <w:kern w:val="2"/>
          <w:sz w:val="28"/>
          <w:szCs w:val="28"/>
          <w:u w:val="none"/>
          <w:shd w:fill="auto" w:val="clear"/>
          <w:lang w:eastAsia="zh-CN"/>
        </w:rPr>
        <w:t>.</w:t>
      </w:r>
      <w:r>
        <w:rPr>
          <w:rFonts w:eastAsia="Times New Roman" w:cs="Times New Roman"/>
          <w:bCs/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 - Важны чётко установленные координатное местоположение участка, категория земель и вид разрешенного использования, отсутствие ограничений на использование участка для того или иного вида </w:t>
      </w:r>
      <w:r>
        <w:rPr>
          <w:bCs/>
          <w:i/>
          <w:iCs/>
          <w:color w:val="000000"/>
          <w:sz w:val="28"/>
          <w:szCs w:val="28"/>
          <w:shd w:fill="auto" w:val="clear"/>
        </w:rPr>
        <w:t xml:space="preserve">предпринимательской деятельности. </w:t>
      </w:r>
      <w:r>
        <w:rPr>
          <w:rFonts w:eastAsia="Times New Roman" w:cs="Times New Roman"/>
          <w:bCs/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Последние могут устанавливаться при вхождении земельного участка в конкретную территориальную зону, зону с особыми условиями использования территории, различные зоны охраны или санитарно-защитные зоны».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Times New Roman" w:cs="Times New Roman"/>
          <w:bCs/>
          <w:color w:val="000000"/>
          <w:kern w:val="2"/>
          <w:sz w:val="28"/>
          <w:szCs w:val="28"/>
          <w:shd w:fill="auto" w:val="clear"/>
          <w:lang w:eastAsia="zh-CN"/>
        </w:rPr>
        <w:t>Так, установление границ</w:t>
      </w:r>
      <w:r>
        <w:rPr>
          <w:rFonts w:eastAsia="0"/>
          <w:i w:val="false"/>
          <w:iCs w:val="false"/>
          <w:color w:val="000000"/>
          <w:sz w:val="28"/>
          <w:szCs w:val="28"/>
          <w:shd w:fill="FFFFFF" w:val="clear"/>
        </w:rPr>
        <w:t xml:space="preserve"> земельн</w:t>
      </w:r>
      <w:r>
        <w:rPr>
          <w:rFonts w:eastAsia="0" w:cs="Times New Roman"/>
          <w:i w:val="false"/>
          <w:iCs w:val="false"/>
          <w:color w:val="000000"/>
          <w:kern w:val="2"/>
          <w:sz w:val="28"/>
          <w:szCs w:val="28"/>
          <w:shd w:fill="FFFFFF" w:val="clear"/>
          <w:lang w:eastAsia="zh-CN"/>
        </w:rPr>
        <w:t>ого</w:t>
      </w:r>
      <w:r>
        <w:rPr>
          <w:rFonts w:eastAsia="0"/>
          <w:i w:val="false"/>
          <w:iCs w:val="false"/>
          <w:color w:val="000000"/>
          <w:sz w:val="28"/>
          <w:szCs w:val="28"/>
          <w:shd w:fill="FFFFFF" w:val="clear"/>
        </w:rPr>
        <w:t xml:space="preserve"> участк</w:t>
      </w:r>
      <w:r>
        <w:rPr>
          <w:rFonts w:eastAsia="0" w:cs="Times New Roman"/>
          <w:i w:val="false"/>
          <w:iCs w:val="false"/>
          <w:color w:val="000000"/>
          <w:kern w:val="2"/>
          <w:sz w:val="28"/>
          <w:szCs w:val="28"/>
          <w:shd w:fill="FFFFFF" w:val="clear"/>
          <w:lang w:eastAsia="zh-CN"/>
        </w:rPr>
        <w:t>а</w:t>
      </w:r>
      <w:r>
        <w:rPr>
          <w:rFonts w:eastAsia="0"/>
          <w:i w:val="false"/>
          <w:iCs w:val="false"/>
          <w:color w:val="000000"/>
          <w:sz w:val="28"/>
          <w:szCs w:val="28"/>
          <w:shd w:fill="FFFFFF" w:val="clear"/>
        </w:rPr>
        <w:t xml:space="preserve"> на</w:t>
      </w:r>
      <w:r>
        <w:rPr>
          <w:rFonts w:eastAsia="0"/>
          <w:i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0"/>
          <w:i w:val="false"/>
          <w:iCs w:val="false"/>
          <w:color w:val="000000"/>
          <w:sz w:val="28"/>
          <w:szCs w:val="28"/>
          <w:shd w:fill="FFFFFF" w:val="clear"/>
        </w:rPr>
        <w:t xml:space="preserve">местности </w:t>
      </w:r>
      <w:r>
        <w:rPr>
          <w:rFonts w:eastAsia="0" w:cs="Times New Roman"/>
          <w:i w:val="false"/>
          <w:iCs w:val="false"/>
          <w:color w:val="000000"/>
          <w:kern w:val="2"/>
          <w:sz w:val="28"/>
          <w:szCs w:val="28"/>
          <w:shd w:fill="FFFFFF" w:val="clear"/>
          <w:lang w:eastAsia="zh-CN"/>
        </w:rPr>
        <w:t>необходимо</w:t>
      </w:r>
      <w:r>
        <w:rPr>
          <w:rFonts w:eastAsia="0"/>
          <w:i w:val="false"/>
          <w:iCs w:val="false"/>
          <w:color w:val="000000"/>
          <w:sz w:val="28"/>
          <w:szCs w:val="28"/>
          <w:shd w:fill="FFFFFF" w:val="clear"/>
        </w:rPr>
        <w:t xml:space="preserve"> с точки зрения возможности его отнесения к юрисдикции конкретного муниципального образования, а значит и </w:t>
      </w:r>
      <w:r>
        <w:rPr>
          <w:rFonts w:eastAsia="0" w:cs="Times New Roman"/>
          <w:i w:val="false"/>
          <w:iCs w:val="false"/>
          <w:color w:val="000000"/>
          <w:kern w:val="2"/>
          <w:sz w:val="28"/>
          <w:szCs w:val="28"/>
          <w:shd w:fill="FFFFFF" w:val="clear"/>
          <w:lang w:eastAsia="zh-CN"/>
        </w:rPr>
        <w:t>присвоения адреса, величины кадастровой стоимости и налоговых сборов, действия программ поддержки предпринимательства, подключения к коммуникациям и пр. Особо актуально это для участков, расположенных на границах муниципальных районов и округов, субъектов РФ. Соответственно, необходима документальная фиксация таких границ и их отображение на кадастровых картах региона.</w:t>
      </w:r>
    </w:p>
    <w:p>
      <w:pPr>
        <w:pStyle w:val="Normal"/>
        <w:widowControl w:val="false"/>
        <w:ind w:firstLine="709"/>
        <w:jc w:val="both"/>
        <w:rPr>
          <w:b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Т</w:t>
      </w:r>
      <w:r>
        <w:rPr>
          <w:rFonts w:eastAsia="0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zh-CN"/>
        </w:rPr>
        <w:t>ерриториальн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ые</w:t>
      </w:r>
      <w:r>
        <w:rPr>
          <w:rFonts w:eastAsia="0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zh-CN"/>
        </w:rPr>
        <w:t xml:space="preserve"> зоны - достаточно важный элемент планировочной структуры, 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Д</w:t>
      </w:r>
      <w:r>
        <w:rPr>
          <w:rFonts w:eastAsia="0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zh-CN"/>
        </w:rPr>
        <w:t xml:space="preserve">ля каждого муниципального образования они устанавливаются отдельно и определяют виды использования участков. Например, построить сервис технического обслуживания автомобилей на земельном участке, находящемся в терзоне для ведения садоводства, огородничества и дачного хозяйства </w:t>
      </w:r>
      <w:r>
        <w:rPr>
          <w:rFonts w:eastAsia="0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FFFFFF" w:val="clear"/>
          <w:lang w:eastAsia="zh-CN"/>
        </w:rPr>
        <w:t xml:space="preserve">невозможно. Поэтому важно знать в какой территориальной зоне находится земельный участок, </w:t>
      </w:r>
      <w:r>
        <w:rPr>
          <w:rFonts w:eastAsia="0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zh-CN"/>
        </w:rPr>
        <w:t>особенно для тех, кто собирается возводить жилые или производственные строения.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0"/>
          <w:i/>
          <w:iCs/>
          <w:color w:val="000000"/>
          <w:sz w:val="28"/>
          <w:szCs w:val="28"/>
          <w:shd w:fill="FFFFFF" w:val="clear"/>
        </w:rPr>
        <w:t>«Например, предприниматель приобрел земельный участок в пределах территориальной зоны или зоны с ос</w:t>
      </w:r>
      <w:r>
        <w:rPr>
          <w:rFonts w:eastAsia="0" w:cs="Times New Roman"/>
          <w:i/>
          <w:iCs/>
          <w:color w:val="000000"/>
          <w:kern w:val="2"/>
          <w:sz w:val="28"/>
          <w:szCs w:val="28"/>
          <w:shd w:fill="FFFFFF" w:val="clear"/>
          <w:lang w:val="ru-RU" w:eastAsia="zh-CN" w:bidi="ar-SA"/>
        </w:rPr>
        <w:t>о</w:t>
      </w:r>
      <w:r>
        <w:rPr>
          <w:rFonts w:eastAsia="0"/>
          <w:i/>
          <w:iCs/>
          <w:color w:val="000000"/>
          <w:sz w:val="28"/>
          <w:szCs w:val="28"/>
          <w:shd w:fill="FFFFFF" w:val="clear"/>
        </w:rPr>
        <w:t>быми условиями использования, сведения о которой не переда</w:t>
      </w:r>
      <w:r>
        <w:rPr>
          <w:rFonts w:eastAsia="0" w:cs="Times New Roman"/>
          <w:i/>
          <w:iCs/>
          <w:color w:val="000000"/>
          <w:kern w:val="2"/>
          <w:sz w:val="28"/>
          <w:szCs w:val="28"/>
          <w:shd w:fill="FFFFFF" w:val="clear"/>
          <w:lang w:val="ru-RU" w:eastAsia="zh-CN" w:bidi="ar-SA"/>
        </w:rPr>
        <w:t>вались</w:t>
      </w:r>
      <w:r>
        <w:rPr>
          <w:rFonts w:eastAsia="0"/>
          <w:i/>
          <w:iCs/>
          <w:color w:val="000000"/>
          <w:sz w:val="28"/>
          <w:szCs w:val="28"/>
          <w:shd w:fill="FFFFFF" w:val="clear"/>
        </w:rPr>
        <w:t xml:space="preserve"> компетентным органом власти или м</w:t>
      </w:r>
      <w:r>
        <w:rPr>
          <w:rFonts w:eastAsia="0" w:cs="Times New Roman"/>
          <w:i/>
          <w:iCs/>
          <w:color w:val="000000"/>
          <w:kern w:val="2"/>
          <w:sz w:val="28"/>
          <w:szCs w:val="28"/>
          <w:shd w:fill="FFFFFF" w:val="clear"/>
          <w:lang w:val="ru-RU" w:eastAsia="zh-CN" w:bidi="ar-SA"/>
        </w:rPr>
        <w:t>униципалитето</w:t>
      </w:r>
      <w:r>
        <w:rPr>
          <w:rFonts w:eastAsia="0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м для </w:t>
      </w:r>
      <w:r>
        <w:rPr>
          <w:rFonts w:eastAsia="0"/>
          <w:i/>
          <w:iCs/>
          <w:color w:val="000000"/>
          <w:sz w:val="28"/>
          <w:szCs w:val="28"/>
          <w:shd w:fill="auto" w:val="clear"/>
        </w:rPr>
        <w:t>внесения в ЕГРН. После постановки такой зоны на кадастровый уч</w:t>
      </w:r>
      <w:r>
        <w:rPr>
          <w:rFonts w:eastAsia="0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ё</w:t>
      </w:r>
      <w:r>
        <w:rPr>
          <w:rFonts w:eastAsia="0"/>
          <w:i/>
          <w:iCs/>
          <w:color w:val="000000"/>
          <w:sz w:val="28"/>
          <w:szCs w:val="28"/>
          <w:shd w:fill="auto" w:val="clear"/>
        </w:rPr>
        <w:t xml:space="preserve">т, </w:t>
      </w:r>
      <w:r>
        <w:rPr>
          <w:rFonts w:eastAsia="0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ограничения коснутся уже существующих участков. Следовательно, это может привести к издержкам или стать препятствием к реализации бизнес-проекта. Так, вблизи объектов культурного наследия </w:t>
      </w:r>
      <w:r>
        <w:rPr>
          <w:rFonts w:eastAsia="0" w:cs="Times New Roman"/>
          <w:bCs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использование земельных наделов, их застройка, реконструкция уже существующей недвижимости может проводиться с некоторыми ограничениями либо быть полностью запрещенными. Ограничение прав связано с расположением участков в охранной зоне объекта культурного наследия</w:t>
      </w:r>
      <w:r>
        <w:rPr>
          <w:rFonts w:eastAsia="0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»,</w:t>
      </w:r>
      <w:r>
        <w:rPr>
          <w:rFonts w:eastAsia="0" w:cs="Times New Roman"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 - сообщает </w:t>
      </w:r>
      <w:r>
        <w:rPr>
          <w:rFonts w:eastAsia="0" w:cs="Times New Roman"/>
          <w:b/>
          <w:bCs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Дмитрий Комиссаров</w:t>
      </w:r>
      <w:r>
        <w:rPr>
          <w:rFonts w:eastAsia="0" w:cs="Times New Roman"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. </w:t>
      </w:r>
    </w:p>
    <w:p>
      <w:pPr>
        <w:pStyle w:val="Normal"/>
        <w:widowControl w:val="false"/>
        <w:ind w:firstLine="709"/>
        <w:jc w:val="both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  <w:t>Соответственно, наличие таких сведений в ЕГРН важно для снижения предпринимательских рисков и земельных споров, корректного налогообложени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 xml:space="preserve">я и вовлечения в оборот объектов недвижимости, защиты прав граждан и 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бизнеса</w:t>
      </w:r>
      <w:r>
        <w:rPr>
          <w:rFonts w:eastAsia="0"/>
          <w:b w:val="false"/>
          <w:bCs w:val="false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widowControl w:val="false"/>
        <w:ind w:firstLine="737"/>
        <w:jc w:val="both"/>
        <w:rPr>
          <w:bCs/>
          <w:i/>
          <w:i/>
          <w:color w:val="000000"/>
          <w:sz w:val="28"/>
          <w:szCs w:val="28"/>
          <w:shd w:fill="FFFFFF" w:val="clear"/>
        </w:rPr>
      </w:pPr>
      <w:r>
        <w:rPr>
          <w:bCs/>
          <w:i/>
          <w:color w:val="000000"/>
          <w:sz w:val="28"/>
          <w:szCs w:val="28"/>
          <w:shd w:fill="FFFFFF" w:val="clear"/>
        </w:rPr>
        <w:t xml:space="preserve">«Проведенная Кадастровой палатой совместно с Управлением Росреестра по Алтайскому краю, органами госвласти и местного самоуправления работа позволила достичь определенных положительных результатов. Так, с начала реализации «дорожной карты» по упрощению процедур для бизнеса </w:t>
      </w:r>
      <w:r>
        <w:rPr>
          <w:rFonts w:eastAsia="Times New Roman" w:cs="Times New Roman"/>
          <w:bCs/>
          <w:i/>
          <w:color w:val="000000"/>
          <w:kern w:val="2"/>
          <w:sz w:val="28"/>
          <w:szCs w:val="28"/>
          <w:shd w:fill="FFFFFF" w:val="clear"/>
          <w:lang w:val="ru-RU" w:eastAsia="zh-CN" w:bidi="ar-SA"/>
        </w:rPr>
        <w:t>ЕГРН</w:t>
      </w:r>
      <w:r>
        <w:rPr>
          <w:bCs/>
          <w:i/>
          <w:color w:val="000000"/>
          <w:sz w:val="28"/>
          <w:szCs w:val="28"/>
          <w:shd w:fill="FFFFFF" w:val="clear"/>
        </w:rPr>
        <w:t xml:space="preserve"> существенно пополнился сведениями, необходимыми для четкой идентификации объектов недвижимости, их территориальной принадлежности, понимания возможност</w:t>
      </w:r>
      <w:r>
        <w:rPr>
          <w:rFonts w:eastAsia="Times New Roman" w:cs="Times New Roman"/>
          <w:bCs/>
          <w:i/>
          <w:color w:val="000000"/>
          <w:kern w:val="2"/>
          <w:sz w:val="28"/>
          <w:szCs w:val="28"/>
          <w:shd w:fill="FFFFFF" w:val="clear"/>
          <w:lang w:eastAsia="zh-CN"/>
        </w:rPr>
        <w:t>и</w:t>
      </w:r>
      <w:r>
        <w:rPr>
          <w:bCs/>
          <w:i/>
          <w:color w:val="000000"/>
          <w:sz w:val="28"/>
          <w:szCs w:val="28"/>
          <w:shd w:fill="FFFFFF" w:val="clear"/>
        </w:rPr>
        <w:t xml:space="preserve"> и</w:t>
      </w:r>
      <w:r>
        <w:rPr>
          <w:bCs/>
          <w:i/>
          <w:color w:val="000000"/>
          <w:sz w:val="28"/>
          <w:szCs w:val="28"/>
          <w:shd w:fill="auto" w:val="clear"/>
        </w:rPr>
        <w:t xml:space="preserve"> пределов их использования, а также беспрепятственной регистрации прав на них</w:t>
      </w:r>
      <w:r>
        <w:rPr>
          <w:rFonts w:eastAsia="Times New Roman" w:cs="Times New Roman"/>
          <w:bCs/>
          <w:i/>
          <w:color w:val="000000"/>
          <w:kern w:val="2"/>
          <w:sz w:val="28"/>
          <w:szCs w:val="28"/>
          <w:shd w:fill="FFFFFF" w:val="clear"/>
          <w:lang w:val="ru-RU" w:eastAsia="zh-CN" w:bidi="ar-SA"/>
        </w:rPr>
        <w:t xml:space="preserve">, 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делится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 xml:space="preserve"> </w:t>
      </w:r>
      <w:r>
        <w:rPr>
          <w:rFonts w:eastAsia="0" w:cs="Times New Roman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Дмитрий Александрович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.</w:t>
      </w:r>
    </w:p>
    <w:p>
      <w:pPr>
        <w:pStyle w:val="Normal"/>
        <w:widowControl w:val="false"/>
        <w:ind w:firstLine="737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К августу 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 xml:space="preserve">2022 года доля внесенных в ЕГРН объектов культурного наследия составила 67% 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auto" w:val="clear"/>
          <w:lang w:eastAsia="zh-CN"/>
        </w:rPr>
        <w:t>от существующих в крае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>,  территорий объектов культурного наследия - 98%,  границ населенных пунктов - 89%,  границ муниципальных об</w:t>
      </w:r>
      <w:r>
        <w:rPr>
          <w:bCs/>
          <w:i w:val="false"/>
          <w:iCs w:val="false"/>
          <w:color w:val="000000"/>
          <w:sz w:val="28"/>
          <w:szCs w:val="28"/>
          <w:shd w:fill="FFFFFF" w:val="clear"/>
        </w:rPr>
        <w:t xml:space="preserve">разований — 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 xml:space="preserve">100%, </w:t>
      </w:r>
      <w:r>
        <w:rPr>
          <w:bCs/>
          <w:i w:val="false"/>
          <w:iCs w:val="false"/>
          <w:color w:val="000000"/>
          <w:sz w:val="28"/>
          <w:szCs w:val="28"/>
          <w:shd w:fill="FFFFFF" w:val="clear"/>
        </w:rPr>
        <w:t xml:space="preserve"> установленных зон затопления и подтопления - 100%,  </w:t>
      </w:r>
      <w:r>
        <w:rPr>
          <w:rFonts w:cs="Times New Roman"/>
          <w:bCs/>
          <w:i w:val="false"/>
          <w:iCs w:val="false"/>
          <w:color w:val="000000"/>
          <w:sz w:val="28"/>
          <w:szCs w:val="28"/>
          <w:shd w:fill="FFFFFF" w:val="clear"/>
        </w:rPr>
        <w:t>границ между субъектами Российской Федерации - 66%, более 30% территориальных зон</w:t>
      </w:r>
      <w:r>
        <w:rPr>
          <w:bCs/>
          <w:i w:val="false"/>
          <w:iCs w:val="false"/>
          <w:color w:val="000000"/>
          <w:sz w:val="28"/>
          <w:szCs w:val="28"/>
          <w:shd w:fill="FFFFFF" w:val="clear"/>
        </w:rPr>
        <w:t>. Доля поступивших в электронной форме запросов о предоставлении сведений о недвижимости превышает 95%. При этом, срок предоставления сведений варьируется от нескольких минут до 1 дня — в з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 xml:space="preserve">ависимости от 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содержания запроса и электронной площадки его подачи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>.</w:t>
      </w:r>
    </w:p>
    <w:p>
      <w:pPr>
        <w:pStyle w:val="Normal"/>
        <w:widowControl w:val="false"/>
        <w:ind w:firstLine="737"/>
        <w:jc w:val="both"/>
        <w:rPr>
          <w:shd w:fill="auto" w:val="clear"/>
        </w:rPr>
      </w:pP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>По итогам работы за 1 квартал 2022 года общий процент достижения  показателей «дорожной карты» превысил 82%. По пяти показателям Кадастровая палата по Алтайскому краю опережает установленны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е целевые значения.</w:t>
      </w:r>
    </w:p>
    <w:p>
      <w:pPr>
        <w:pStyle w:val="Normal"/>
        <w:widowControl w:val="false"/>
        <w:ind w:firstLine="709"/>
        <w:jc w:val="both"/>
        <w:rPr>
          <w:i/>
          <w:i/>
          <w:iCs/>
        </w:rPr>
      </w:pPr>
      <w:r>
        <w:rPr>
          <w:bCs/>
          <w:i/>
          <w:iCs/>
          <w:color w:val="000000"/>
          <w:sz w:val="28"/>
          <w:szCs w:val="28"/>
          <w:shd w:fill="auto" w:val="clear"/>
        </w:rPr>
        <w:t xml:space="preserve">«Кроме предусмотренных целевыми моделями обязательных мер поддержки предпринимателям предусмотрена помощь в организации взаимодействия с федеральными, краевыми и муниципальными ведомствами в электронном виде, в получении сертификата электронно-цифровой подписи и доступа к порталу госуслуг, использовании сервисов портала Росреестра, — 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обращает внимание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 xml:space="preserve"> </w:t>
      </w:r>
      <w:r>
        <w:rPr>
          <w:b/>
          <w:bCs/>
          <w:i w:val="false"/>
          <w:iCs w:val="false"/>
          <w:color w:val="000000"/>
          <w:sz w:val="28"/>
          <w:szCs w:val="28"/>
          <w:shd w:fill="auto" w:val="clear"/>
        </w:rPr>
        <w:t>директор Кадастровой палаты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>.</w:t>
      </w:r>
      <w:r>
        <w:rPr>
          <w:bCs/>
          <w:i/>
          <w:iCs/>
          <w:color w:val="000000"/>
          <w:sz w:val="28"/>
          <w:szCs w:val="28"/>
          <w:shd w:fill="auto" w:val="clear"/>
        </w:rPr>
        <w:t xml:space="preserve"> — Работает «Школа электронных услуг» и специализированный офис для юридических лиц и предпринимателей. Организовано персональное информационное сопровождение предпринимателя от момента первого обращения в офис до получения результата. В предлагаемый спектр услуг входят разносторонние консультации по кадастровому учету, подготовке пакета документов для регистрации права, оформлению сделок с недвижимостью, уведомление о стадиях проведения государственной регистрации и кадастрового учета и др. </w:t>
      </w:r>
      <w:r>
        <w:rPr>
          <w:rFonts w:eastAsia="Times New Roman" w:cs="Times New Roman"/>
          <w:bCs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Таковы итоги нескольких лет работы, и она будет продолжена во благо</w:t>
      </w:r>
      <w:r>
        <w:rPr>
          <w:bCs/>
          <w:i/>
          <w:iCs/>
          <w:color w:val="000000"/>
          <w:sz w:val="28"/>
          <w:szCs w:val="28"/>
          <w:shd w:fill="auto" w:val="clear"/>
        </w:rPr>
        <w:t xml:space="preserve"> нашему краю и его жителям»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>,— п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одытожил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 xml:space="preserve"> </w:t>
      </w:r>
      <w:r>
        <w:rPr>
          <w:b/>
          <w:bCs/>
          <w:i w:val="false"/>
          <w:iCs w:val="false"/>
          <w:color w:val="000000"/>
          <w:sz w:val="28"/>
          <w:szCs w:val="28"/>
          <w:shd w:fill="auto" w:val="clear"/>
        </w:rPr>
        <w:t xml:space="preserve">Дмитрий 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Комисссаров</w:t>
      </w:r>
      <w:r>
        <w:rPr>
          <w:bCs/>
          <w:i w:val="false"/>
          <w:iCs w:val="false"/>
          <w:color w:val="000000"/>
          <w:sz w:val="28"/>
          <w:szCs w:val="28"/>
          <w:shd w:fill="auto" w:val="clear"/>
        </w:rPr>
        <w:t>.</w:t>
      </w:r>
    </w:p>
    <w:p>
      <w:pPr>
        <w:pStyle w:val="Normal"/>
        <w:widowControl w:val="false"/>
        <w:ind w:firstLine="709"/>
        <w:jc w:val="both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rStyle w:val="Style17"/>
          <w:i/>
          <w:iCs/>
          <w:color w:val="000000"/>
          <w:sz w:val="26"/>
          <w:szCs w:val="26"/>
          <w:u w:val="none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Normal"/>
        <w:jc w:val="both"/>
        <w:rPr/>
      </w:pPr>
      <w:r>
        <w:rPr>
          <w:rStyle w:val="Style17"/>
          <w:i/>
          <w:iCs/>
          <w:color w:val="000000"/>
          <w:sz w:val="26"/>
          <w:szCs w:val="26"/>
          <w:u w:val="none"/>
          <w:shd w:fill="FFFFFF" w:val="clear"/>
        </w:rPr>
        <w:t>Контакты для СМИ: тел. 8 (3852) 55-76-59, доб. 7091, 7092,</w:t>
      </w:r>
    </w:p>
    <w:p>
      <w:pPr>
        <w:pStyle w:val="Normal"/>
        <w:jc w:val="both"/>
        <w:rPr/>
      </w:pPr>
      <w:r>
        <w:rPr>
          <w:rStyle w:val="Style17"/>
          <w:i/>
          <w:iCs/>
          <w:color w:val="000000"/>
          <w:sz w:val="26"/>
          <w:szCs w:val="26"/>
          <w:u w:val="none"/>
          <w:shd w:fill="FFFFFF" w:val="clear"/>
          <w:lang w:eastAsia="ru-RU"/>
        </w:rPr>
        <w:t xml:space="preserve">адрес электронной почты: </w:t>
      </w:r>
      <w:hyperlink r:id="rId3">
        <w:r>
          <w:rPr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press</w:t>
        </w:r>
        <w:r>
          <w:rPr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@22.</w:t>
        </w:r>
        <w:r>
          <w:rPr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kadastr</w:t>
        </w:r>
        <w:r>
          <w:rPr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.</w:t>
        </w:r>
        <w:r>
          <w:rPr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ru</w:t>
        </w:r>
      </w:hyperlink>
      <w:r>
        <w:rPr>
          <w:rStyle w:val="Style17"/>
          <w:i/>
          <w:iCs/>
          <w:color w:val="000000"/>
          <w:sz w:val="26"/>
          <w:szCs w:val="26"/>
          <w:u w:val="none"/>
          <w:shd w:fill="FFFFFF" w:val="clear"/>
          <w:lang w:eastAsia="ru-RU"/>
        </w:rPr>
        <w:t>.</w:t>
      </w:r>
    </w:p>
    <w:p>
      <w:pPr>
        <w:pStyle w:val="Normal"/>
        <w:widowControl w:val="false"/>
        <w:ind w:hanging="0"/>
        <w:jc w:val="both"/>
        <w:rPr>
          <w:bCs/>
          <w:color w:val="000000"/>
          <w:sz w:val="28"/>
          <w:szCs w:val="28"/>
          <w:shd w:fill="FFFFFF" w:val="clear"/>
        </w:rPr>
      </w:pPr>
      <w:r>
        <w:rPr>
          <w:rStyle w:val="Style17"/>
          <w:rFonts w:eastAsia="Times New Roman" w:cs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 w:bidi="ar-SA"/>
        </w:rPr>
        <w:t>Официальная страница в соц. сети: https://vk.com/kadastr22</w:t>
      </w:r>
    </w:p>
    <w:sectPr>
      <w:type w:val="nextPage"/>
      <w:pgSz w:w="11906" w:h="16838"/>
      <w:pgMar w:left="1310" w:right="736" w:header="0" w:top="650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67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b56670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2" w:customStyle="1">
    <w:name w:val="Основной шрифт абзаца2"/>
    <w:qFormat/>
    <w:rsid w:val="00b56670"/>
    <w:rPr/>
  </w:style>
  <w:style w:type="character" w:styleId="1" w:customStyle="1">
    <w:name w:val="Основной шрифт абзаца1"/>
    <w:qFormat/>
    <w:rsid w:val="00b56670"/>
    <w:rPr/>
  </w:style>
  <w:style w:type="character" w:styleId="Style15">
    <w:name w:val="Выделение"/>
    <w:basedOn w:val="DefaultParagraphFont"/>
    <w:uiPriority w:val="20"/>
    <w:qFormat/>
    <w:rsid w:val="00b56670"/>
    <w:rPr>
      <w:i/>
      <w:iCs/>
    </w:rPr>
  </w:style>
  <w:style w:type="character" w:styleId="Strong">
    <w:name w:val="Strong"/>
    <w:basedOn w:val="DefaultParagraphFont"/>
    <w:uiPriority w:val="22"/>
    <w:qFormat/>
    <w:rsid w:val="00b56670"/>
    <w:rPr>
      <w:b/>
      <w:bCs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56670"/>
    <w:rPr>
      <w:rFonts w:ascii="Tahoma" w:hAnsi="Tahoma" w:eastAsia="Times New Roman" w:cs="Tahoma"/>
      <w:color w:val="00000A"/>
      <w:kern w:val="2"/>
      <w:sz w:val="16"/>
      <w:szCs w:val="16"/>
      <w:lang w:eastAsia="zh-CN"/>
    </w:rPr>
  </w:style>
  <w:style w:type="character" w:styleId="Style17" w:customStyle="1">
    <w:name w:val="Интернет-ссылка"/>
    <w:uiPriority w:val="99"/>
    <w:semiHidden/>
    <w:unhideWhenUsed/>
    <w:rsid w:val="00b56670"/>
    <w:rPr>
      <w:color w:val="0000FF"/>
      <w:u w:val="single"/>
    </w:rPr>
  </w:style>
  <w:style w:type="character" w:styleId="Style18">
    <w:name w:val="Посещённая гиперссылка"/>
    <w:rPr>
      <w:color w:val="80000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semiHidden/>
    <w:unhideWhenUsed/>
    <w:rsid w:val="00b56670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b5667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56670"/>
    <w:pPr>
      <w:suppressAutoHyphens w:val="false"/>
      <w:spacing w:beforeAutospacing="1" w:afterAutospacing="1"/>
    </w:pPr>
    <w:rPr>
      <w:color w:val="auto"/>
      <w:kern w:val="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Application>LibreOffice/7.1.1.2$Windows_X86_64 LibreOffice_project/fe0b08f4af1bacafe4c7ecc87ce55bb426164676</Application>
  <AppVersion>15.0000</AppVersion>
  <Pages>3</Pages>
  <Words>877</Words>
  <Characters>6413</Characters>
  <CharactersWithSpaces>7285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2022-08-17T23:56:00Z</dcterms:created>
  <dc:creator>Слободянник Юлия Олеговна</dc:creator>
  <dc:description/>
  <dc:language>ru-RU</dc:language>
  <cp:lastModifiedBy/>
  <cp:lastPrinted>2022-08-29T10:56:13Z</cp:lastPrinted>
  <dcterms:modified xsi:type="dcterms:W3CDTF">2022-08-29T10:56:42Z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